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22F8E" w14:textId="5F1EC969" w:rsidR="00CE50BA" w:rsidRPr="00CB168F" w:rsidRDefault="00CE50BA" w:rsidP="00CE50B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9733DB">
        <w:rPr>
          <w:rFonts w:ascii="Arial" w:hAnsi="Arial" w:cs="Arial"/>
          <w:b/>
          <w:sz w:val="24"/>
          <w:lang w:val="en-US"/>
        </w:rPr>
        <w:t>3GPP TSG-RAN5 Meeting #86-e</w:t>
      </w:r>
      <w:r w:rsidRPr="00052390">
        <w:rPr>
          <w:rFonts w:ascii="Arial" w:hAnsi="Arial" w:cs="Arial"/>
          <w:b/>
          <w:sz w:val="24"/>
          <w:lang w:val="en-US"/>
        </w:rPr>
        <w:tab/>
      </w:r>
      <w:r w:rsidRPr="00052390">
        <w:rPr>
          <w:rFonts w:ascii="Arial" w:hAnsi="Arial" w:cs="Arial"/>
          <w:b/>
          <w:sz w:val="24"/>
          <w:lang w:val="en-US"/>
        </w:rPr>
        <w:tab/>
      </w:r>
      <w:r w:rsidR="00E24DE6" w:rsidRPr="00E24DE6">
        <w:rPr>
          <w:rFonts w:ascii="Arial" w:hAnsi="Arial" w:cs="Arial"/>
          <w:b/>
          <w:sz w:val="24"/>
          <w:lang w:val="en-US"/>
        </w:rPr>
        <w:t>R5-20032</w:t>
      </w:r>
      <w:r w:rsidR="008358A1">
        <w:rPr>
          <w:rFonts w:ascii="Arial" w:hAnsi="Arial" w:cs="Arial"/>
          <w:b/>
          <w:sz w:val="24"/>
          <w:lang w:val="en-US"/>
        </w:rPr>
        <w:t>8</w:t>
      </w:r>
      <w:r w:rsidRPr="00052390">
        <w:rPr>
          <w:rFonts w:ascii="Arial" w:hAnsi="Arial" w:cs="Arial"/>
          <w:b/>
          <w:sz w:val="24"/>
          <w:lang w:val="en-US"/>
        </w:rPr>
        <w:br/>
      </w:r>
      <w:r w:rsidRPr="009733DB">
        <w:rPr>
          <w:rFonts w:ascii="Arial" w:hAnsi="Arial" w:cs="Arial"/>
          <w:b/>
          <w:sz w:val="24"/>
        </w:rPr>
        <w:t>Electronic Meeting, 17th – 28th February 2020</w:t>
      </w:r>
      <w:r w:rsidRPr="00B24E76">
        <w:rPr>
          <w:rFonts w:ascii="Arial" w:hAnsi="Arial" w:cs="Arial"/>
          <w:b/>
          <w:sz w:val="24"/>
        </w:rPr>
        <w:t xml:space="preserve"> </w:t>
      </w:r>
    </w:p>
    <w:bookmarkEnd w:id="0"/>
    <w:p w14:paraId="1428E2A0" w14:textId="77777777" w:rsidR="00496113" w:rsidRDefault="00496113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p w14:paraId="35952388" w14:textId="77F58616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24DE6" w:rsidRPr="00E24DE6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437EA4B6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9254C3">
        <w:rPr>
          <w:rFonts w:ascii="Arial" w:hAnsi="Arial" w:cs="Arial"/>
          <w:sz w:val="24"/>
          <w:szCs w:val="24"/>
        </w:rPr>
        <w:t xml:space="preserve">On XPD </w:t>
      </w:r>
      <w:r w:rsidR="00655969">
        <w:rPr>
          <w:rFonts w:ascii="Arial" w:hAnsi="Arial" w:cs="Arial"/>
          <w:sz w:val="24"/>
          <w:szCs w:val="24"/>
        </w:rPr>
        <w:t>Verification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3595238B" w14:textId="0EC075F0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9254C3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2650A556" w:rsidR="000606FD" w:rsidRDefault="00655969" w:rsidP="000606FD">
      <w:pPr>
        <w:ind w:left="48"/>
        <w:rPr>
          <w:rFonts w:eastAsia="Batang"/>
        </w:rPr>
      </w:pPr>
      <w:r>
        <w:rPr>
          <w:rFonts w:eastAsia="Batang"/>
        </w:rPr>
        <w:t xml:space="preserve">While the XPD derivation was included 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_Ref31038580 \n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[1]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, specifically Section </w:t>
      </w:r>
      <w:r w:rsidRPr="00655969">
        <w:rPr>
          <w:rFonts w:eastAsia="Batang"/>
        </w:rPr>
        <w:t>B.2.1.10</w:t>
      </w:r>
      <w:r>
        <w:rPr>
          <w:rFonts w:eastAsia="Batang"/>
        </w:rPr>
        <w:t xml:space="preserve">, it was not outlined how to assess the XPD used to calculate the XPD MU. 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287ACBF0" w:rsidR="00E03F11" w:rsidRDefault="00655969" w:rsidP="00E03F11">
      <w:r>
        <w:t xml:space="preserve">In Section B.2.1.10 of </w:t>
      </w:r>
      <w:r>
        <w:fldChar w:fldCharType="begin"/>
      </w:r>
      <w:r>
        <w:instrText xml:space="preserve"> REF _Ref31038580 \n \h </w:instrText>
      </w:r>
      <w:r>
        <w:fldChar w:fldCharType="separate"/>
      </w:r>
      <w:r>
        <w:t>[1]</w:t>
      </w:r>
      <w:r>
        <w:fldChar w:fldCharType="end"/>
      </w:r>
      <w:r>
        <w:t>, it was derived how to determine the XPD MU from the XPD</w:t>
      </w:r>
    </w:p>
    <w:p w14:paraId="09EE7BB9" w14:textId="745C6B48" w:rsidR="00655969" w:rsidRPr="00E03F11" w:rsidRDefault="00655969" w:rsidP="00655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</w:pPr>
      <w:r w:rsidRPr="003F45F8">
        <w:rPr>
          <w:position w:val="-32"/>
        </w:rPr>
        <w:object w:dxaOrig="4900" w:dyaOrig="760" w14:anchorId="6026B8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65pt;height:35.85pt" o:ole="">
            <v:imagedata r:id="rId12" o:title=""/>
          </v:shape>
          <o:OLEObject Type="Embed" ProgID="Equation.DSMT4" ShapeID="_x0000_i1025" DrawAspect="Content" ObjectID="_1642927773" r:id="rId13"/>
        </w:object>
      </w:r>
    </w:p>
    <w:bookmarkEnd w:id="2"/>
    <w:p w14:paraId="63C368C6" w14:textId="4B0AEAF7" w:rsidR="00655969" w:rsidRDefault="00655969" w:rsidP="00655969">
      <w:r>
        <w:t xml:space="preserve">However, it has not been outlined how to determine the XPD from measurements. </w:t>
      </w:r>
    </w:p>
    <w:p w14:paraId="7CE4E76F" w14:textId="1DCF04CD" w:rsidR="00655969" w:rsidRDefault="00655969" w:rsidP="00655969">
      <w:r>
        <w:t xml:space="preserve">In CTIA, </w:t>
      </w:r>
      <w:r w:rsidR="001E29B3">
        <w:t xml:space="preserve">the link between XPD and QoQZ measurements was made </w:t>
      </w:r>
      <w:r w:rsidR="001E29B3">
        <w:fldChar w:fldCharType="begin"/>
      </w:r>
      <w:r w:rsidR="001E29B3">
        <w:instrText xml:space="preserve"> REF _Ref31039064 \n \h </w:instrText>
      </w:r>
      <w:r w:rsidR="001E29B3">
        <w:fldChar w:fldCharType="separate"/>
      </w:r>
      <w:r w:rsidR="001E29B3">
        <w:t>[2]</w:t>
      </w:r>
      <w:r w:rsidR="001E29B3">
        <w:fldChar w:fldCharType="end"/>
      </w:r>
      <w:r w:rsidR="001E29B3">
        <w:t xml:space="preserve">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E29B3" w14:paraId="5AD52137" w14:textId="77777777" w:rsidTr="001E29B3">
        <w:tc>
          <w:tcPr>
            <w:tcW w:w="9631" w:type="dxa"/>
          </w:tcPr>
          <w:p w14:paraId="6CE77212" w14:textId="77777777" w:rsidR="001E29B3" w:rsidRPr="003F45F8" w:rsidRDefault="001E29B3" w:rsidP="001E29B3">
            <w:pPr>
              <w:pStyle w:val="BodyBest"/>
            </w:pPr>
            <w:r w:rsidRPr="003F45F8">
              <w:t xml:space="preserve">The XPD of the measurement system shall be determined from the quality of quiet zone measurements, see Section </w:t>
            </w:r>
            <w:r w:rsidRPr="003F45F8">
              <w:rPr>
                <w:color w:val="0000FF"/>
              </w:rPr>
              <w:fldChar w:fldCharType="begin"/>
            </w:r>
            <w:r w:rsidRPr="003F45F8">
              <w:rPr>
                <w:color w:val="0000FF"/>
              </w:rPr>
              <w:instrText xml:space="preserve"> REF _Ref29231420 \r \h </w:instrText>
            </w:r>
            <w:r w:rsidRPr="003F45F8">
              <w:rPr>
                <w:color w:val="0000FF"/>
              </w:rPr>
            </w:r>
            <w:r w:rsidRPr="003F45F8">
              <w:rPr>
                <w:color w:val="0000FF"/>
              </w:rPr>
              <w:fldChar w:fldCharType="separate"/>
            </w:r>
            <w:r w:rsidRPr="003F45F8">
              <w:rPr>
                <w:color w:val="0000FF"/>
              </w:rPr>
              <w:t>3.5</w:t>
            </w:r>
            <w:r w:rsidRPr="003F45F8">
              <w:rPr>
                <w:color w:val="0000FF"/>
              </w:rPr>
              <w:fldChar w:fldCharType="end"/>
            </w:r>
            <w:r w:rsidRPr="003F45F8">
              <w:t xml:space="preserve">, at the 7 reference points, P1 through P7, specifically with reference AUT orientations </w:t>
            </w:r>
            <w:r w:rsidRPr="003F45F8">
              <w:rPr>
                <w:rFonts w:ascii="Symbol" w:hAnsi="Symbol"/>
              </w:rPr>
              <w:t></w:t>
            </w:r>
            <w:r w:rsidRPr="003F45F8">
              <w:t>=</w:t>
            </w:r>
            <w:r w:rsidRPr="003F45F8">
              <w:rPr>
                <w:rFonts w:ascii="Symbol" w:hAnsi="Symbol"/>
              </w:rPr>
              <w:t></w:t>
            </w:r>
            <w:r w:rsidRPr="003F45F8">
              <w:t>=0</w:t>
            </w:r>
            <w:r w:rsidRPr="003F45F8">
              <w:rPr>
                <w:vertAlign w:val="superscript"/>
              </w:rPr>
              <w:t>o</w:t>
            </w:r>
            <w:r w:rsidRPr="003F45F8">
              <w:t xml:space="preserve"> for distributed axes systems, Section </w:t>
            </w:r>
            <w:r w:rsidRPr="003F45F8">
              <w:rPr>
                <w:color w:val="0000FF"/>
              </w:rPr>
              <w:fldChar w:fldCharType="begin"/>
            </w:r>
            <w:r w:rsidRPr="003F45F8">
              <w:rPr>
                <w:color w:val="0000FF"/>
              </w:rPr>
              <w:instrText xml:space="preserve"> REF _Ref29231442 \r \h </w:instrText>
            </w:r>
            <w:r w:rsidRPr="003F45F8">
              <w:rPr>
                <w:color w:val="0000FF"/>
              </w:rPr>
            </w:r>
            <w:r w:rsidRPr="003F45F8">
              <w:rPr>
                <w:color w:val="0000FF"/>
              </w:rPr>
              <w:fldChar w:fldCharType="separate"/>
            </w:r>
            <w:r w:rsidRPr="003F45F8">
              <w:rPr>
                <w:color w:val="0000FF"/>
              </w:rPr>
              <w:t>3.5.1</w:t>
            </w:r>
            <w:r w:rsidRPr="003F45F8">
              <w:rPr>
                <w:color w:val="0000FF"/>
              </w:rPr>
              <w:fldChar w:fldCharType="end"/>
            </w:r>
            <w:r w:rsidRPr="003F45F8">
              <w:t xml:space="preserve">, or reference AUT orientations </w:t>
            </w:r>
            <w:r w:rsidRPr="003F45F8">
              <w:rPr>
                <w:rFonts w:ascii="Symbol" w:hAnsi="Symbol"/>
              </w:rPr>
              <w:t></w:t>
            </w:r>
            <w:r w:rsidRPr="003F45F8">
              <w:t>=</w:t>
            </w:r>
            <w:r w:rsidRPr="003F45F8">
              <w:rPr>
                <w:rFonts w:ascii="Symbol" w:hAnsi="Symbol"/>
              </w:rPr>
              <w:t></w:t>
            </w:r>
            <w:r w:rsidRPr="003F45F8">
              <w:t>=0</w:t>
            </w:r>
            <w:r w:rsidRPr="003F45F8">
              <w:rPr>
                <w:vertAlign w:val="superscript"/>
              </w:rPr>
              <w:t>o</w:t>
            </w:r>
            <w:r w:rsidRPr="003F45F8">
              <w:t xml:space="preserve"> for combined-axes systems, Section </w:t>
            </w:r>
            <w:r w:rsidRPr="003F45F8">
              <w:rPr>
                <w:color w:val="0000FF"/>
              </w:rPr>
              <w:fldChar w:fldCharType="begin"/>
            </w:r>
            <w:r w:rsidRPr="003F45F8">
              <w:rPr>
                <w:color w:val="0000FF"/>
              </w:rPr>
              <w:instrText xml:space="preserve"> REF _Ref29231460 \r \h </w:instrText>
            </w:r>
            <w:r w:rsidRPr="003F45F8">
              <w:rPr>
                <w:color w:val="0000FF"/>
              </w:rPr>
            </w:r>
            <w:r w:rsidRPr="003F45F8">
              <w:rPr>
                <w:color w:val="0000FF"/>
              </w:rPr>
              <w:fldChar w:fldCharType="separate"/>
            </w:r>
            <w:r w:rsidRPr="003F45F8">
              <w:rPr>
                <w:color w:val="0000FF"/>
              </w:rPr>
              <w:t>3.5.2</w:t>
            </w:r>
            <w:r w:rsidRPr="003F45F8">
              <w:rPr>
                <w:color w:val="0000FF"/>
              </w:rPr>
              <w:fldChar w:fldCharType="end"/>
            </w:r>
            <w:r w:rsidRPr="003F45F8">
              <w:t>. Alternatively, it can be determined using a reference antenna optimized for XPD measurements and with the corresponding alignment to achieve optimal polarization matching between the reference and the measurement antenna.</w:t>
            </w:r>
          </w:p>
          <w:p w14:paraId="060FFE40" w14:textId="77777777" w:rsidR="001E29B3" w:rsidRPr="003F45F8" w:rsidRDefault="001E29B3" w:rsidP="001E29B3">
            <w:pPr>
              <w:pStyle w:val="BodyBest"/>
            </w:pPr>
            <w:r w:rsidRPr="003F45F8">
              <w:t xml:space="preserve">The XPD for each reference point shall be calculated as the ratio of cross-polarized to co-polarized measured powers and the largest XPD from the 7 different reference points shall be used to determine the XPD MU, i.e., </w:t>
            </w:r>
          </w:p>
          <w:p w14:paraId="2E998B55" w14:textId="77777777" w:rsidR="001E29B3" w:rsidRPr="003F45F8" w:rsidRDefault="001E29B3" w:rsidP="001E29B3">
            <w:pPr>
              <w:pStyle w:val="MTDisplayEquation"/>
            </w:pPr>
            <w:r w:rsidRPr="003F45F8">
              <w:tab/>
            </w:r>
            <w:r w:rsidRPr="003F45F8">
              <w:rPr>
                <w:position w:val="-32"/>
              </w:rPr>
              <w:object w:dxaOrig="5340" w:dyaOrig="760" w14:anchorId="3D6818B7">
                <v:shape id="_x0000_i1026" type="#_x0000_t75" style="width:266.3pt;height:35.85pt" o:ole="">
                  <v:imagedata r:id="rId14" o:title=""/>
                </v:shape>
                <o:OLEObject Type="Embed" ProgID="Equation.DSMT4" ShapeID="_x0000_i1026" DrawAspect="Content" ObjectID="_1642927774" r:id="rId15"/>
              </w:object>
            </w:r>
            <w:r w:rsidRPr="003F45F8">
              <w:t xml:space="preserve"> </w:t>
            </w:r>
            <w:r w:rsidRPr="003F45F8">
              <w:tab/>
              <w:t>(1.17)</w:t>
            </w:r>
          </w:p>
          <w:p w14:paraId="53830A8E" w14:textId="77777777" w:rsidR="001E29B3" w:rsidRPr="003F45F8" w:rsidRDefault="001E29B3" w:rsidP="001E29B3">
            <w:pPr>
              <w:ind w:left="547"/>
              <w:rPr>
                <w:rFonts w:cs="Arial"/>
                <w:color w:val="000000" w:themeColor="text1"/>
              </w:rPr>
            </w:pPr>
            <w:r w:rsidRPr="003F45F8">
              <w:rPr>
                <w:rFonts w:cs="Arial"/>
                <w:color w:val="000000" w:themeColor="text1"/>
              </w:rPr>
              <w:t>where</w:t>
            </w:r>
          </w:p>
          <w:p w14:paraId="690AB52B" w14:textId="6538B8C8" w:rsidR="001E29B3" w:rsidRDefault="001E29B3" w:rsidP="001E29B3">
            <w:r w:rsidRPr="003F45F8">
              <w:rPr>
                <w:position w:val="-44"/>
              </w:rPr>
              <w:object w:dxaOrig="9700" w:dyaOrig="999" w14:anchorId="5D89073C">
                <v:shape id="_x0000_i1027" type="#_x0000_t75" style="width:482.05pt;height:49.5pt" o:ole="">
                  <v:imagedata r:id="rId16" o:title=""/>
                </v:shape>
                <o:OLEObject Type="Embed" ProgID="Equation.DSMT4" ShapeID="_x0000_i1027" DrawAspect="Content" ObjectID="_1642927775" r:id="rId17"/>
              </w:object>
            </w:r>
          </w:p>
        </w:tc>
      </w:tr>
    </w:tbl>
    <w:p w14:paraId="29F7EE90" w14:textId="1A5DFC03" w:rsidR="001E29B3" w:rsidRDefault="001E29B3" w:rsidP="00655969"/>
    <w:p w14:paraId="7BF1B9FA" w14:textId="4A028B58" w:rsidR="001E29B3" w:rsidRDefault="001E29B3" w:rsidP="00655969">
      <w:r>
        <w:t xml:space="preserve">It is proposed to add similar language to </w:t>
      </w:r>
      <w:r>
        <w:fldChar w:fldCharType="begin"/>
      </w:r>
      <w:r>
        <w:instrText xml:space="preserve"> REF _Ref31038580 \n \h </w:instrText>
      </w:r>
      <w:r>
        <w:fldChar w:fldCharType="separate"/>
      </w:r>
      <w:r>
        <w:t>[1]</w:t>
      </w:r>
      <w:r>
        <w:fldChar w:fldCharType="end"/>
      </w:r>
      <w:r>
        <w:t xml:space="preserve"> to link the XPD with measurements.</w:t>
      </w:r>
    </w:p>
    <w:p w14:paraId="5EA88C41" w14:textId="2EEECB84" w:rsidR="001E29B3" w:rsidRDefault="001E29B3" w:rsidP="001E29B3">
      <w:pPr>
        <w:pStyle w:val="Caption"/>
      </w:pPr>
      <w:bookmarkStart w:id="4" w:name="_Ref3103928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Include a paragraph in B.2.1.10 of </w:t>
      </w:r>
      <w:r>
        <w:fldChar w:fldCharType="begin"/>
      </w:r>
      <w:r>
        <w:instrText xml:space="preserve"> REF _Ref31038580 \n \h </w:instrText>
      </w:r>
      <w:r>
        <w:fldChar w:fldCharType="separate"/>
      </w:r>
      <w:r>
        <w:t>[1]</w:t>
      </w:r>
      <w:r>
        <w:fldChar w:fldCharType="end"/>
      </w:r>
      <w:r>
        <w:t xml:space="preserve"> on how to determine XPD from measurements, e.g., QoQZ.</w:t>
      </w:r>
      <w:bookmarkEnd w:id="4"/>
      <w:r>
        <w:t xml:space="preserve"> </w:t>
      </w:r>
    </w:p>
    <w:p w14:paraId="64122DEA" w14:textId="546A84E7" w:rsidR="008358A1" w:rsidRDefault="008358A1" w:rsidP="008358A1">
      <w:bookmarkStart w:id="5" w:name="_GoBack"/>
      <w:r>
        <w:t xml:space="preserve">This CR to implement this approach in TR38.903 is in </w:t>
      </w:r>
      <w:r>
        <w:fldChar w:fldCharType="begin"/>
      </w:r>
      <w:r>
        <w:instrText xml:space="preserve"> REF _Ref32314903 \r \h </w:instrText>
      </w:r>
      <w:r>
        <w:fldChar w:fldCharType="separate"/>
      </w:r>
      <w:r w:rsidR="00E34703">
        <w:t>[3]</w:t>
      </w:r>
      <w:r>
        <w:fldChar w:fldCharType="end"/>
      </w:r>
      <w:r>
        <w:t xml:space="preserve">. </w:t>
      </w:r>
    </w:p>
    <w:bookmarkEnd w:id="5"/>
    <w:p w14:paraId="35952390" w14:textId="188C91D5" w:rsidR="008B0529" w:rsidRDefault="0053435C" w:rsidP="0053435C">
      <w:pPr>
        <w:pStyle w:val="Heading1"/>
        <w:ind w:left="567" w:hanging="567"/>
      </w:pPr>
      <w:r>
        <w:lastRenderedPageBreak/>
        <w:t>Conclusion</w:t>
      </w:r>
    </w:p>
    <w:p w14:paraId="35952391" w14:textId="7AB779BB" w:rsidR="008B0529" w:rsidRDefault="0053435C" w:rsidP="008B0529">
      <w:r>
        <w:t>The following observations and proposals were made in this contribution</w:t>
      </w:r>
    </w:p>
    <w:p w14:paraId="6BC5F18B" w14:textId="74746BC1" w:rsidR="001E29B3" w:rsidRPr="002D6789" w:rsidRDefault="001E29B3" w:rsidP="008B0529">
      <w:pPr>
        <w:rPr>
          <w:b/>
          <w:bCs/>
        </w:rPr>
      </w:pPr>
      <w:r w:rsidRPr="002D6789">
        <w:rPr>
          <w:b/>
          <w:bCs/>
        </w:rPr>
        <w:fldChar w:fldCharType="begin"/>
      </w:r>
      <w:r w:rsidRPr="002D6789">
        <w:rPr>
          <w:b/>
          <w:bCs/>
        </w:rPr>
        <w:instrText xml:space="preserve"> REF _Ref31039287 \h  \* MERGEFORMAT </w:instrText>
      </w:r>
      <w:r w:rsidRPr="002D6789">
        <w:rPr>
          <w:b/>
          <w:bCs/>
        </w:rPr>
      </w:r>
      <w:r w:rsidRPr="002D6789">
        <w:rPr>
          <w:b/>
          <w:bCs/>
        </w:rPr>
        <w:fldChar w:fldCharType="separate"/>
      </w:r>
      <w:r w:rsidR="002D6789" w:rsidRPr="002D6789">
        <w:rPr>
          <w:b/>
          <w:bCs/>
        </w:rPr>
        <w:t xml:space="preserve">Proposal </w:t>
      </w:r>
      <w:r w:rsidR="002D6789" w:rsidRPr="002D6789">
        <w:rPr>
          <w:b/>
          <w:bCs/>
          <w:noProof/>
        </w:rPr>
        <w:t>1</w:t>
      </w:r>
      <w:r w:rsidR="002D6789" w:rsidRPr="002D6789">
        <w:rPr>
          <w:b/>
          <w:bCs/>
        </w:rPr>
        <w:t>: Include a paragraph in B.2.1.10 of [1] on how to determine XPD from measurements, e.g., QoQZ.</w:t>
      </w:r>
      <w:r w:rsidRPr="002D6789">
        <w:rPr>
          <w:b/>
          <w:bCs/>
        </w:rPr>
        <w:fldChar w:fldCharType="end"/>
      </w: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3A2F4B2B" w14:textId="77777777" w:rsidR="00655969" w:rsidRPr="00655969" w:rsidRDefault="00655969" w:rsidP="00655969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6" w:name="_Ref31038580"/>
      <w:r w:rsidRPr="00655969">
        <w:rPr>
          <w:rFonts w:ascii="Times New Roman" w:eastAsia="Malgun Gothic" w:hAnsi="Times New Roman"/>
          <w:sz w:val="20"/>
          <w:szCs w:val="20"/>
          <w:lang w:val="en-GB"/>
        </w:rPr>
        <w:t>TR 38.903, Derivation of test tolerances and measurement uncertainty for User Equipment (UE) conformance test cases, V16.2.0 (2019-12)</w:t>
      </w:r>
      <w:bookmarkEnd w:id="6"/>
    </w:p>
    <w:p w14:paraId="71651493" w14:textId="05D6EF2E" w:rsidR="00655969" w:rsidRDefault="00655969" w:rsidP="00655969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7" w:name="_Ref31039064"/>
      <w:r w:rsidRPr="00655969">
        <w:rPr>
          <w:rFonts w:ascii="Times New Roman" w:eastAsia="Malgun Gothic" w:hAnsi="Times New Roman"/>
          <w:sz w:val="20"/>
          <w:szCs w:val="20"/>
          <w:lang w:val="en-GB"/>
        </w:rPr>
        <w:t>CTIA, Test Plan for Millimeter-Wave Wireless Device Over-the-Air Performance, Version 1.0 Draft 4, January 2020</w:t>
      </w:r>
      <w:r>
        <w:rPr>
          <w:rFonts w:ascii="Times New Roman" w:eastAsia="Malgun Gothic" w:hAnsi="Times New Roman"/>
          <w:sz w:val="20"/>
          <w:szCs w:val="20"/>
          <w:lang w:val="en-GB"/>
        </w:rPr>
        <w:t>*</w:t>
      </w:r>
      <w:bookmarkEnd w:id="7"/>
    </w:p>
    <w:p w14:paraId="2D6EFF0A" w14:textId="07EFF164" w:rsidR="00771966" w:rsidRPr="00655969" w:rsidRDefault="00771966" w:rsidP="00655969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8" w:name="_Ref32314903"/>
      <w:r w:rsidRPr="00771966">
        <w:rPr>
          <w:rFonts w:ascii="Times New Roman" w:eastAsia="Malgun Gothic" w:hAnsi="Times New Roman"/>
          <w:sz w:val="20"/>
          <w:szCs w:val="20"/>
          <w:lang w:val="en-GB"/>
        </w:rPr>
        <w:t>R5-200329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, </w:t>
      </w:r>
      <w:r w:rsidRPr="00771966">
        <w:rPr>
          <w:rFonts w:ascii="Times New Roman" w:eastAsia="Malgun Gothic" w:hAnsi="Times New Roman"/>
          <w:sz w:val="20"/>
          <w:szCs w:val="20"/>
          <w:lang w:val="en-GB"/>
        </w:rPr>
        <w:t>CR to 38.903 on XPD Verification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, </w:t>
      </w:r>
      <w:r w:rsidRPr="00771966">
        <w:rPr>
          <w:rFonts w:ascii="Times New Roman" w:eastAsia="Malgun Gothic" w:hAnsi="Times New Roman"/>
          <w:sz w:val="20"/>
          <w:szCs w:val="20"/>
          <w:lang w:val="en-GB"/>
        </w:rPr>
        <w:t>Keysight Technologies</w:t>
      </w:r>
      <w:r>
        <w:rPr>
          <w:rFonts w:ascii="Times New Roman" w:eastAsia="Malgun Gothic" w:hAnsi="Times New Roman"/>
          <w:sz w:val="20"/>
          <w:szCs w:val="20"/>
          <w:lang w:val="en-GB"/>
        </w:rPr>
        <w:t>, February 2020</w:t>
      </w:r>
      <w:bookmarkEnd w:id="8"/>
    </w:p>
    <w:p w14:paraId="574AC6F6" w14:textId="77777777" w:rsidR="00655969" w:rsidRDefault="00655969" w:rsidP="00655969">
      <w:pPr>
        <w:pStyle w:val="BodyText"/>
      </w:pPr>
      <w:r>
        <w:t xml:space="preserve">* </w:t>
      </w:r>
      <w:r w:rsidRPr="00B11943">
        <w:t>This is a CTIA Sub-Working Group Document available to CTIA Sub-Working Group members</w:t>
      </w:r>
    </w:p>
    <w:p w14:paraId="35952393" w14:textId="52D883F2" w:rsidR="000547AB" w:rsidRPr="00052390" w:rsidRDefault="000547AB" w:rsidP="00655969"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sectPr w:rsidR="000547AB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38F3B" w14:textId="77777777" w:rsidR="00E34703" w:rsidRDefault="00E34703">
      <w:r>
        <w:separator/>
      </w:r>
    </w:p>
  </w:endnote>
  <w:endnote w:type="continuationSeparator" w:id="0">
    <w:p w14:paraId="2B745E73" w14:textId="77777777" w:rsidR="00E34703" w:rsidRDefault="00E34703">
      <w:r>
        <w:continuationSeparator/>
      </w:r>
    </w:p>
  </w:endnote>
  <w:endnote w:type="continuationNotice" w:id="1">
    <w:p w14:paraId="10E66845" w14:textId="77777777" w:rsidR="00E34703" w:rsidRDefault="00E347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78D1A" w14:textId="77777777" w:rsidR="00E34703" w:rsidRDefault="00E34703">
      <w:r>
        <w:separator/>
      </w:r>
    </w:p>
  </w:footnote>
  <w:footnote w:type="continuationSeparator" w:id="0">
    <w:p w14:paraId="3D6D4D42" w14:textId="77777777" w:rsidR="00E34703" w:rsidRDefault="00E34703">
      <w:r>
        <w:continuationSeparator/>
      </w:r>
    </w:p>
  </w:footnote>
  <w:footnote w:type="continuationNotice" w:id="1">
    <w:p w14:paraId="3391714E" w14:textId="77777777" w:rsidR="00E34703" w:rsidRDefault="00E347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0BE5DAC"/>
    <w:multiLevelType w:val="hybridMultilevel"/>
    <w:tmpl w:val="FB26AB7E"/>
    <w:lvl w:ilvl="0" w:tplc="3C9CBD7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6"/>
  </w:num>
  <w:num w:numId="12">
    <w:abstractNumId w:val="11"/>
  </w:num>
  <w:num w:numId="13">
    <w:abstractNumId w:val="25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3"/>
  </w:num>
  <w:num w:numId="19">
    <w:abstractNumId w:val="18"/>
  </w:num>
  <w:num w:numId="20">
    <w:abstractNumId w:val="24"/>
  </w:num>
  <w:num w:numId="21">
    <w:abstractNumId w:val="29"/>
  </w:num>
  <w:num w:numId="22">
    <w:abstractNumId w:val="22"/>
  </w:num>
  <w:num w:numId="23">
    <w:abstractNumId w:val="19"/>
  </w:num>
  <w:num w:numId="24">
    <w:abstractNumId w:val="9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7"/>
  </w:num>
  <w:num w:numId="30">
    <w:abstractNumId w:val="15"/>
  </w:num>
  <w:num w:numId="31">
    <w:abstractNumId w:val="34"/>
  </w:num>
  <w:num w:numId="32">
    <w:abstractNumId w:val="28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39C6"/>
    <w:rsid w:val="000D6B69"/>
    <w:rsid w:val="000D6CFC"/>
    <w:rsid w:val="000E24A4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29B3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789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9611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5969"/>
    <w:rsid w:val="00656A7B"/>
    <w:rsid w:val="00657CCC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1966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58A1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4C3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F3F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2D5F"/>
    <w:rsid w:val="00CC6580"/>
    <w:rsid w:val="00CC6FE0"/>
    <w:rsid w:val="00CE0386"/>
    <w:rsid w:val="00CE50BA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24DE6"/>
    <w:rsid w:val="00E31F57"/>
    <w:rsid w:val="00E32C2E"/>
    <w:rsid w:val="00E336C5"/>
    <w:rsid w:val="00E34703"/>
    <w:rsid w:val="00E34794"/>
    <w:rsid w:val="00E41279"/>
    <w:rsid w:val="00E502C4"/>
    <w:rsid w:val="00E55ABC"/>
    <w:rsid w:val="00E56168"/>
    <w:rsid w:val="00E57B74"/>
    <w:rsid w:val="00E57FEF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odyBest">
    <w:name w:val="BodyBest"/>
    <w:basedOn w:val="Normal"/>
    <w:link w:val="BodyBestChar"/>
    <w:qFormat/>
    <w:rsid w:val="001E29B3"/>
    <w:pPr>
      <w:spacing w:before="240" w:after="0"/>
      <w:ind w:left="540"/>
      <w:jc w:val="both"/>
    </w:pPr>
    <w:rPr>
      <w:rFonts w:ascii="Arial" w:eastAsia="MS Mincho" w:hAnsi="Arial" w:cs="Arial"/>
      <w:color w:val="000000" w:themeColor="text1"/>
      <w:lang w:val="en-US"/>
    </w:rPr>
  </w:style>
  <w:style w:type="character" w:customStyle="1" w:styleId="BodyBestChar">
    <w:name w:val="BodyBest Char"/>
    <w:basedOn w:val="DefaultParagraphFont"/>
    <w:link w:val="BodyBest"/>
    <w:rsid w:val="001E29B3"/>
    <w:rPr>
      <w:rFonts w:ascii="Arial" w:eastAsia="MS Mincho" w:hAnsi="Arial" w:cs="Arial"/>
      <w:color w:val="000000" w:themeColor="text1"/>
    </w:rPr>
  </w:style>
  <w:style w:type="paragraph" w:customStyle="1" w:styleId="MTDisplayEquation">
    <w:name w:val="MTDisplayEquation"/>
    <w:basedOn w:val="Normal"/>
    <w:link w:val="MTDisplayEquationChar"/>
    <w:rsid w:val="001E29B3"/>
    <w:pPr>
      <w:tabs>
        <w:tab w:val="center" w:pos="4820"/>
        <w:tab w:val="right" w:pos="9640"/>
      </w:tabs>
    </w:pPr>
    <w:rPr>
      <w:rFonts w:ascii="Arial" w:eastAsia="Times New Roman" w:hAnsi="Arial" w:cs="Arial"/>
      <w:color w:val="000000" w:themeColor="text1"/>
      <w:lang w:eastAsia="ja-JP"/>
    </w:rPr>
  </w:style>
  <w:style w:type="character" w:customStyle="1" w:styleId="MTDisplayEquationChar">
    <w:name w:val="MTDisplayEquation Char"/>
    <w:basedOn w:val="BodyBestChar"/>
    <w:link w:val="MTDisplayEquation"/>
    <w:rsid w:val="001E29B3"/>
    <w:rPr>
      <w:rFonts w:ascii="Arial" w:eastAsia="Times New Roman" w:hAnsi="Arial" w:cs="Arial"/>
      <w:color w:val="000000" w:themeColor="text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purl.org/dc/dcmitype/"/>
    <ds:schemaRef ds:uri="http://purl.org/dc/elements/1.1/"/>
    <ds:schemaRef ds:uri="bdd78157-346c-4767-bfdd-352789a5c5f1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878f5c59-aec9-459c-acf8-8cf94147319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250430C-E787-46C1-BE3E-53AB08337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15</cp:revision>
  <dcterms:created xsi:type="dcterms:W3CDTF">2019-06-30T20:45:00Z</dcterms:created>
  <dcterms:modified xsi:type="dcterms:W3CDTF">2020-02-11T20:03:00Z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